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62B71" w14:textId="77777777" w:rsidR="00E24ED3" w:rsidRDefault="00E24ED3" w:rsidP="00E24ED3">
      <w:pPr>
        <w:pStyle w:val="Heading1"/>
        <w:rPr>
          <w:lang w:val="en-US"/>
        </w:rPr>
      </w:pPr>
      <w:bookmarkStart w:id="0" w:name="_Ref64543727"/>
      <w:bookmarkStart w:id="1" w:name="_Toc64551701"/>
      <w:r w:rsidRPr="00ED0DF5">
        <w:rPr>
          <w:lang w:val="en-US"/>
        </w:rPr>
        <w:t xml:space="preserve">Annex </w:t>
      </w:r>
      <w:r>
        <w:rPr>
          <w:lang w:val="en-US"/>
        </w:rPr>
        <w:t>2</w:t>
      </w:r>
      <w:r w:rsidRPr="00ED0DF5">
        <w:rPr>
          <w:lang w:val="en-US"/>
        </w:rPr>
        <w:t xml:space="preserve"> – </w:t>
      </w:r>
      <w:bookmarkEnd w:id="0"/>
      <w:bookmarkEnd w:id="1"/>
      <w:r w:rsidRPr="000501A7">
        <w:rPr>
          <w:lang w:val="en-US"/>
        </w:rPr>
        <w:t>Updates to templates since version 1.1</w:t>
      </w:r>
    </w:p>
    <w:tbl>
      <w:tblPr>
        <w:tblStyle w:val="TableGrid"/>
        <w:tblW w:w="14054" w:type="dxa"/>
        <w:tblLook w:val="04A0" w:firstRow="1" w:lastRow="0" w:firstColumn="1" w:lastColumn="0" w:noHBand="0" w:noVBand="1"/>
      </w:tblPr>
      <w:tblGrid>
        <w:gridCol w:w="2254"/>
        <w:gridCol w:w="1424"/>
        <w:gridCol w:w="3013"/>
        <w:gridCol w:w="898"/>
        <w:gridCol w:w="917"/>
        <w:gridCol w:w="3519"/>
        <w:gridCol w:w="2029"/>
      </w:tblGrid>
      <w:tr w:rsidR="00E24ED3" w:rsidRPr="000E5086" w14:paraId="72A9D516" w14:textId="77777777" w:rsidTr="0026479D">
        <w:trPr>
          <w:trHeight w:val="576"/>
        </w:trPr>
        <w:tc>
          <w:tcPr>
            <w:tcW w:w="1974" w:type="dxa"/>
            <w:hideMark/>
          </w:tcPr>
          <w:p w14:paraId="6E7D5E12"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File</w:t>
            </w:r>
          </w:p>
        </w:tc>
        <w:tc>
          <w:tcPr>
            <w:tcW w:w="1434" w:type="dxa"/>
            <w:hideMark/>
          </w:tcPr>
          <w:p w14:paraId="5A8ED871"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Sheet</w:t>
            </w:r>
          </w:p>
        </w:tc>
        <w:tc>
          <w:tcPr>
            <w:tcW w:w="3108" w:type="dxa"/>
            <w:hideMark/>
          </w:tcPr>
          <w:p w14:paraId="3512434A"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Issue</w:t>
            </w:r>
          </w:p>
        </w:tc>
        <w:tc>
          <w:tcPr>
            <w:tcW w:w="903" w:type="dxa"/>
            <w:hideMark/>
          </w:tcPr>
          <w:p w14:paraId="18AC385D"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Severity</w:t>
            </w:r>
          </w:p>
        </w:tc>
        <w:tc>
          <w:tcPr>
            <w:tcW w:w="922" w:type="dxa"/>
            <w:hideMark/>
          </w:tcPr>
          <w:p w14:paraId="21FB1065" w14:textId="5B08A632"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 xml:space="preserve">Updated in </w:t>
            </w:r>
            <w:r w:rsidR="006D1F81">
              <w:rPr>
                <w:rFonts w:ascii="Calibri" w:eastAsia="Times New Roman" w:hAnsi="Calibri" w:cs="Calibri"/>
                <w:color w:val="000000"/>
                <w:sz w:val="20"/>
                <w:szCs w:val="20"/>
                <w:lang w:eastAsia="en-GB"/>
              </w:rPr>
              <w:t xml:space="preserve">zip </w:t>
            </w:r>
            <w:r w:rsidRPr="000E5086">
              <w:rPr>
                <w:rFonts w:ascii="Calibri" w:eastAsia="Times New Roman" w:hAnsi="Calibri" w:cs="Calibri"/>
                <w:color w:val="000000"/>
                <w:sz w:val="20"/>
                <w:szCs w:val="20"/>
                <w:lang w:eastAsia="en-GB"/>
              </w:rPr>
              <w:t>version</w:t>
            </w:r>
          </w:p>
        </w:tc>
        <w:tc>
          <w:tcPr>
            <w:tcW w:w="3643" w:type="dxa"/>
            <w:hideMark/>
          </w:tcPr>
          <w:p w14:paraId="37B0A68B"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 xml:space="preserve">How to </w:t>
            </w:r>
            <w:r>
              <w:rPr>
                <w:rFonts w:ascii="Calibri" w:eastAsia="Times New Roman" w:hAnsi="Calibri" w:cs="Calibri"/>
                <w:color w:val="000000"/>
                <w:sz w:val="20"/>
                <w:szCs w:val="20"/>
                <w:lang w:eastAsia="en-GB"/>
              </w:rPr>
              <w:t>fix</w:t>
            </w:r>
            <w:r w:rsidRPr="000E5086">
              <w:rPr>
                <w:rFonts w:ascii="Calibri" w:eastAsia="Times New Roman" w:hAnsi="Calibri" w:cs="Calibri"/>
                <w:color w:val="000000"/>
                <w:sz w:val="20"/>
                <w:szCs w:val="20"/>
                <w:lang w:eastAsia="en-GB"/>
              </w:rPr>
              <w:t xml:space="preserve"> it</w:t>
            </w:r>
          </w:p>
        </w:tc>
        <w:tc>
          <w:tcPr>
            <w:tcW w:w="2070" w:type="dxa"/>
            <w:hideMark/>
          </w:tcPr>
          <w:p w14:paraId="0EF1F0A6"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Comments</w:t>
            </w:r>
          </w:p>
        </w:tc>
      </w:tr>
      <w:tr w:rsidR="00E24ED3" w:rsidRPr="000E5086" w14:paraId="60567C19" w14:textId="77777777" w:rsidTr="0026479D">
        <w:trPr>
          <w:trHeight w:val="1152"/>
        </w:trPr>
        <w:tc>
          <w:tcPr>
            <w:tcW w:w="1974" w:type="dxa"/>
            <w:hideMark/>
          </w:tcPr>
          <w:p w14:paraId="7860A373"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GovReg_Proj_T1a</w:t>
            </w:r>
          </w:p>
          <w:p w14:paraId="2E6B79B9"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_T1b_T5a_T5b</w:t>
            </w:r>
          </w:p>
        </w:tc>
        <w:tc>
          <w:tcPr>
            <w:tcW w:w="1434" w:type="dxa"/>
            <w:hideMark/>
          </w:tcPr>
          <w:p w14:paraId="6C298D4A"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T1a_QAQC(1)</w:t>
            </w:r>
          </w:p>
        </w:tc>
        <w:tc>
          <w:tcPr>
            <w:tcW w:w="3108" w:type="dxa"/>
            <w:hideMark/>
          </w:tcPr>
          <w:p w14:paraId="111E3CFB"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The formula for WAM (BC84:CA94) refers to the domestic aviation from WEM</w:t>
            </w:r>
          </w:p>
        </w:tc>
        <w:tc>
          <w:tcPr>
            <w:tcW w:w="903" w:type="dxa"/>
            <w:hideMark/>
          </w:tcPr>
          <w:p w14:paraId="50162EA4"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Low</w:t>
            </w:r>
          </w:p>
        </w:tc>
        <w:tc>
          <w:tcPr>
            <w:tcW w:w="922" w:type="dxa"/>
            <w:hideMark/>
          </w:tcPr>
          <w:p w14:paraId="7E083206" w14:textId="77777777" w:rsidR="00E24ED3" w:rsidRPr="000E5086" w:rsidRDefault="00E24ED3" w:rsidP="0026479D">
            <w:pPr>
              <w:jc w:val="right"/>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1.2.1</w:t>
            </w:r>
          </w:p>
        </w:tc>
        <w:tc>
          <w:tcPr>
            <w:tcW w:w="3643" w:type="dxa"/>
            <w:hideMark/>
          </w:tcPr>
          <w:p w14:paraId="1B741854"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Select the range BC84:CA94. Press Ctrl+F. Replace 29 for 98. Press “Replace all”</w:t>
            </w:r>
          </w:p>
        </w:tc>
        <w:tc>
          <w:tcPr>
            <w:tcW w:w="2070" w:type="dxa"/>
            <w:hideMark/>
          </w:tcPr>
          <w:p w14:paraId="4FD603A4"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150 replacements should occur</w:t>
            </w:r>
          </w:p>
        </w:tc>
      </w:tr>
      <w:tr w:rsidR="00E24ED3" w:rsidRPr="000E5086" w14:paraId="052CE8A4" w14:textId="77777777" w:rsidTr="0026479D">
        <w:trPr>
          <w:trHeight w:val="576"/>
        </w:trPr>
        <w:tc>
          <w:tcPr>
            <w:tcW w:w="1974" w:type="dxa"/>
            <w:hideMark/>
          </w:tcPr>
          <w:p w14:paraId="70E3BCE5"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GovReg_Proj_T1a</w:t>
            </w:r>
          </w:p>
          <w:p w14:paraId="6BD29A05"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_T1b_T5a_T5b</w:t>
            </w:r>
          </w:p>
        </w:tc>
        <w:tc>
          <w:tcPr>
            <w:tcW w:w="1434" w:type="dxa"/>
            <w:hideMark/>
          </w:tcPr>
          <w:p w14:paraId="096BA356"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Table1a</w:t>
            </w:r>
          </w:p>
        </w:tc>
        <w:tc>
          <w:tcPr>
            <w:tcW w:w="3108" w:type="dxa"/>
            <w:hideMark/>
          </w:tcPr>
          <w:p w14:paraId="0165D4EA"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Cells IS86:JQ86 should not be shaded</w:t>
            </w:r>
          </w:p>
        </w:tc>
        <w:tc>
          <w:tcPr>
            <w:tcW w:w="903" w:type="dxa"/>
            <w:hideMark/>
          </w:tcPr>
          <w:p w14:paraId="3AA5D11A"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Low</w:t>
            </w:r>
          </w:p>
        </w:tc>
        <w:tc>
          <w:tcPr>
            <w:tcW w:w="922" w:type="dxa"/>
            <w:hideMark/>
          </w:tcPr>
          <w:p w14:paraId="06539FDA" w14:textId="77777777" w:rsidR="00E24ED3" w:rsidRPr="000E5086" w:rsidRDefault="00E24ED3" w:rsidP="0026479D">
            <w:pPr>
              <w:jc w:val="right"/>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1.2.1</w:t>
            </w:r>
          </w:p>
        </w:tc>
        <w:tc>
          <w:tcPr>
            <w:tcW w:w="3643" w:type="dxa"/>
            <w:hideMark/>
          </w:tcPr>
          <w:p w14:paraId="51281F1F"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Unshade the range IS86:JQ86 and fill as appropriate</w:t>
            </w:r>
          </w:p>
        </w:tc>
        <w:tc>
          <w:tcPr>
            <w:tcW w:w="2070" w:type="dxa"/>
            <w:hideMark/>
          </w:tcPr>
          <w:p w14:paraId="0B3ED98F"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It only affects if Indirect CO2 is being reported</w:t>
            </w:r>
          </w:p>
        </w:tc>
      </w:tr>
      <w:tr w:rsidR="00E24ED3" w:rsidRPr="000E5086" w14:paraId="4ED7686C" w14:textId="77777777" w:rsidTr="0026479D">
        <w:trPr>
          <w:trHeight w:val="864"/>
        </w:trPr>
        <w:tc>
          <w:tcPr>
            <w:tcW w:w="1974" w:type="dxa"/>
            <w:hideMark/>
          </w:tcPr>
          <w:p w14:paraId="26E59D11"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GovReg_Proj_T1a</w:t>
            </w:r>
          </w:p>
          <w:p w14:paraId="51C76593"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_T1b_T5a_T5b</w:t>
            </w:r>
          </w:p>
        </w:tc>
        <w:tc>
          <w:tcPr>
            <w:tcW w:w="1434" w:type="dxa"/>
            <w:hideMark/>
          </w:tcPr>
          <w:p w14:paraId="69908E6B"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Table1a</w:t>
            </w:r>
          </w:p>
        </w:tc>
        <w:tc>
          <w:tcPr>
            <w:tcW w:w="3108" w:type="dxa"/>
            <w:hideMark/>
          </w:tcPr>
          <w:p w14:paraId="69B48CCA"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Mistake in the formula of four cells within row 65</w:t>
            </w:r>
          </w:p>
        </w:tc>
        <w:tc>
          <w:tcPr>
            <w:tcW w:w="903" w:type="dxa"/>
            <w:hideMark/>
          </w:tcPr>
          <w:p w14:paraId="4E8A0D21"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Medium</w:t>
            </w:r>
          </w:p>
        </w:tc>
        <w:tc>
          <w:tcPr>
            <w:tcW w:w="922" w:type="dxa"/>
            <w:hideMark/>
          </w:tcPr>
          <w:p w14:paraId="21268C79" w14:textId="77777777" w:rsidR="00E24ED3" w:rsidRPr="000E5086" w:rsidRDefault="00E24ED3" w:rsidP="0026479D">
            <w:pPr>
              <w:jc w:val="right"/>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1.2</w:t>
            </w:r>
          </w:p>
        </w:tc>
        <w:tc>
          <w:tcPr>
            <w:tcW w:w="3643" w:type="dxa"/>
            <w:hideMark/>
          </w:tcPr>
          <w:p w14:paraId="5EE7BD7F"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Copy cells in the range C203:JQ203 of the same sheet and paste them in C65:JQ65</w:t>
            </w:r>
          </w:p>
        </w:tc>
        <w:tc>
          <w:tcPr>
            <w:tcW w:w="2070" w:type="dxa"/>
            <w:hideMark/>
          </w:tcPr>
          <w:p w14:paraId="7B5D8C2C" w14:textId="77777777" w:rsidR="00E24ED3" w:rsidRPr="000E5086" w:rsidRDefault="00E24ED3" w:rsidP="0026479D">
            <w:pPr>
              <w:rPr>
                <w:rFonts w:ascii="Calibri" w:eastAsia="Times New Roman" w:hAnsi="Calibri" w:cs="Calibri"/>
                <w:color w:val="000000"/>
                <w:sz w:val="20"/>
                <w:szCs w:val="20"/>
                <w:lang w:eastAsia="en-GB"/>
              </w:rPr>
            </w:pPr>
          </w:p>
        </w:tc>
      </w:tr>
      <w:tr w:rsidR="00E24ED3" w:rsidRPr="000E5086" w14:paraId="1F4BF512" w14:textId="77777777" w:rsidTr="0026479D">
        <w:trPr>
          <w:trHeight w:val="1164"/>
        </w:trPr>
        <w:tc>
          <w:tcPr>
            <w:tcW w:w="1974" w:type="dxa"/>
            <w:hideMark/>
          </w:tcPr>
          <w:p w14:paraId="38CDDB90"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GovReg_Proj_T1a</w:t>
            </w:r>
          </w:p>
          <w:p w14:paraId="4C6D0578"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_T1b_T5a_T5b</w:t>
            </w:r>
          </w:p>
        </w:tc>
        <w:tc>
          <w:tcPr>
            <w:tcW w:w="1434" w:type="dxa"/>
            <w:hideMark/>
          </w:tcPr>
          <w:p w14:paraId="0D77A47D"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T1a_QAQC(2)</w:t>
            </w:r>
          </w:p>
        </w:tc>
        <w:tc>
          <w:tcPr>
            <w:tcW w:w="3108" w:type="dxa"/>
            <w:hideMark/>
          </w:tcPr>
          <w:p w14:paraId="41EE055C"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The formulas for "Total excluding LULUCF" and "Total including LULUCF" should include Indirect CO2</w:t>
            </w:r>
          </w:p>
        </w:tc>
        <w:tc>
          <w:tcPr>
            <w:tcW w:w="903" w:type="dxa"/>
            <w:hideMark/>
          </w:tcPr>
          <w:p w14:paraId="63506BDE"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Low</w:t>
            </w:r>
          </w:p>
        </w:tc>
        <w:tc>
          <w:tcPr>
            <w:tcW w:w="922" w:type="dxa"/>
            <w:hideMark/>
          </w:tcPr>
          <w:p w14:paraId="1F470E80" w14:textId="77777777" w:rsidR="00E24ED3" w:rsidRPr="000E5086" w:rsidRDefault="00E24ED3" w:rsidP="0026479D">
            <w:pPr>
              <w:jc w:val="right"/>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1.2</w:t>
            </w:r>
          </w:p>
        </w:tc>
        <w:tc>
          <w:tcPr>
            <w:tcW w:w="3643" w:type="dxa"/>
            <w:hideMark/>
          </w:tcPr>
          <w:p w14:paraId="0403F8BB"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Include the reference to Indirect CO2 manually in the formula or copy the formula from version 1.2 (or later) in rows 17, 18, 30, 31, 43, 44.</w:t>
            </w:r>
          </w:p>
        </w:tc>
        <w:tc>
          <w:tcPr>
            <w:tcW w:w="2070" w:type="dxa"/>
            <w:hideMark/>
          </w:tcPr>
          <w:p w14:paraId="2769C233" w14:textId="77777777" w:rsidR="00E24ED3" w:rsidRPr="000E5086" w:rsidRDefault="00E24ED3" w:rsidP="0026479D">
            <w:pPr>
              <w:rPr>
                <w:rFonts w:ascii="Calibri" w:eastAsia="Times New Roman" w:hAnsi="Calibri" w:cs="Calibri"/>
                <w:color w:val="000000"/>
                <w:sz w:val="20"/>
                <w:szCs w:val="20"/>
                <w:lang w:eastAsia="en-GB"/>
              </w:rPr>
            </w:pPr>
            <w:r w:rsidRPr="000E5086">
              <w:rPr>
                <w:rFonts w:ascii="Calibri" w:eastAsia="Times New Roman" w:hAnsi="Calibri" w:cs="Calibri"/>
                <w:color w:val="000000"/>
                <w:sz w:val="20"/>
                <w:szCs w:val="20"/>
                <w:lang w:eastAsia="en-GB"/>
              </w:rPr>
              <w:t>It only affects if Indirect CO2 is being reported</w:t>
            </w:r>
          </w:p>
        </w:tc>
      </w:tr>
      <w:tr w:rsidR="00B83932" w:rsidRPr="000E5086" w14:paraId="4B34913F" w14:textId="77777777" w:rsidTr="0026479D">
        <w:trPr>
          <w:trHeight w:val="1164"/>
        </w:trPr>
        <w:tc>
          <w:tcPr>
            <w:tcW w:w="1974" w:type="dxa"/>
          </w:tcPr>
          <w:p w14:paraId="06459F21" w14:textId="4A571A57" w:rsidR="00B83932" w:rsidRPr="000E5086" w:rsidRDefault="00B83932" w:rsidP="0026479D">
            <w:pPr>
              <w:rPr>
                <w:rFonts w:ascii="Calibri" w:eastAsia="Times New Roman" w:hAnsi="Calibri" w:cs="Calibri"/>
                <w:color w:val="000000"/>
                <w:sz w:val="20"/>
                <w:szCs w:val="20"/>
                <w:lang w:eastAsia="en-GB"/>
              </w:rPr>
            </w:pPr>
            <w:r w:rsidRPr="00B83932">
              <w:rPr>
                <w:rFonts w:ascii="Calibri" w:eastAsia="Times New Roman" w:hAnsi="Calibri" w:cs="Calibri"/>
                <w:color w:val="000000"/>
                <w:sz w:val="20"/>
                <w:szCs w:val="20"/>
                <w:lang w:eastAsia="en-GB"/>
              </w:rPr>
              <w:t>GovReg_Proj_T4_v1.2.xlsx</w:t>
            </w:r>
          </w:p>
        </w:tc>
        <w:tc>
          <w:tcPr>
            <w:tcW w:w="1434" w:type="dxa"/>
          </w:tcPr>
          <w:p w14:paraId="37F67A99" w14:textId="348E450C" w:rsidR="00B83932" w:rsidRPr="000E5086" w:rsidRDefault="00B83932" w:rsidP="0026479D">
            <w:pPr>
              <w:rPr>
                <w:rFonts w:ascii="Calibri" w:eastAsia="Times New Roman" w:hAnsi="Calibri" w:cs="Calibri"/>
                <w:color w:val="000000"/>
                <w:sz w:val="20"/>
                <w:szCs w:val="20"/>
                <w:lang w:eastAsia="en-GB"/>
              </w:rPr>
            </w:pPr>
            <w:r>
              <w:rPr>
                <w:rFonts w:ascii="Calibri" w:eastAsia="Times New Roman" w:hAnsi="Calibri" w:cs="Calibri"/>
                <w:color w:val="000000"/>
                <w:sz w:val="20"/>
                <w:szCs w:val="20"/>
                <w:lang w:eastAsia="en-GB"/>
              </w:rPr>
              <w:t>Sheet1</w:t>
            </w:r>
          </w:p>
        </w:tc>
        <w:tc>
          <w:tcPr>
            <w:tcW w:w="3108" w:type="dxa"/>
          </w:tcPr>
          <w:p w14:paraId="05CA0F9C" w14:textId="7632E305" w:rsidR="00B83932" w:rsidRPr="000E5086" w:rsidRDefault="00B83932" w:rsidP="0026479D">
            <w:pPr>
              <w:rPr>
                <w:rFonts w:ascii="Calibri" w:eastAsia="Times New Roman" w:hAnsi="Calibri" w:cs="Calibri"/>
                <w:color w:val="000000"/>
                <w:sz w:val="20"/>
                <w:szCs w:val="20"/>
                <w:lang w:eastAsia="en-GB"/>
              </w:rPr>
            </w:pPr>
            <w:r>
              <w:rPr>
                <w:rFonts w:ascii="Calibri" w:eastAsia="Times New Roman" w:hAnsi="Calibri" w:cs="Calibri"/>
                <w:color w:val="000000"/>
                <w:sz w:val="20"/>
                <w:szCs w:val="20"/>
                <w:lang w:eastAsia="en-GB"/>
              </w:rPr>
              <w:t>Number of models expanded from 12 to 20</w:t>
            </w:r>
          </w:p>
        </w:tc>
        <w:tc>
          <w:tcPr>
            <w:tcW w:w="903" w:type="dxa"/>
          </w:tcPr>
          <w:p w14:paraId="33C586D9" w14:textId="117771E7" w:rsidR="00B83932" w:rsidRPr="000E5086" w:rsidRDefault="00B83932" w:rsidP="0026479D">
            <w:pPr>
              <w:rPr>
                <w:rFonts w:ascii="Calibri" w:eastAsia="Times New Roman" w:hAnsi="Calibri" w:cs="Calibri"/>
                <w:color w:val="000000"/>
                <w:sz w:val="20"/>
                <w:szCs w:val="20"/>
                <w:lang w:eastAsia="en-GB"/>
              </w:rPr>
            </w:pPr>
            <w:r>
              <w:rPr>
                <w:rFonts w:ascii="Calibri" w:eastAsia="Times New Roman" w:hAnsi="Calibri" w:cs="Calibri"/>
                <w:color w:val="000000"/>
                <w:sz w:val="20"/>
                <w:szCs w:val="20"/>
                <w:lang w:eastAsia="en-GB"/>
              </w:rPr>
              <w:t>Low</w:t>
            </w:r>
          </w:p>
        </w:tc>
        <w:tc>
          <w:tcPr>
            <w:tcW w:w="922" w:type="dxa"/>
          </w:tcPr>
          <w:p w14:paraId="3BD30EFF" w14:textId="42B198C9" w:rsidR="00B83932" w:rsidRPr="000E5086" w:rsidRDefault="00B83932" w:rsidP="0026479D">
            <w:pPr>
              <w:jc w:val="right"/>
              <w:rPr>
                <w:rFonts w:ascii="Calibri" w:eastAsia="Times New Roman" w:hAnsi="Calibri" w:cs="Calibri"/>
                <w:color w:val="000000"/>
                <w:sz w:val="20"/>
                <w:szCs w:val="20"/>
                <w:lang w:eastAsia="en-GB"/>
              </w:rPr>
            </w:pPr>
            <w:r>
              <w:rPr>
                <w:rFonts w:ascii="Calibri" w:eastAsia="Times New Roman" w:hAnsi="Calibri" w:cs="Calibri"/>
                <w:color w:val="000000"/>
                <w:sz w:val="20"/>
                <w:szCs w:val="20"/>
                <w:lang w:eastAsia="en-GB"/>
              </w:rPr>
              <w:t>1.2.2</w:t>
            </w:r>
          </w:p>
        </w:tc>
        <w:tc>
          <w:tcPr>
            <w:tcW w:w="3643" w:type="dxa"/>
          </w:tcPr>
          <w:p w14:paraId="2AF31026" w14:textId="79F9B267" w:rsidR="00B83932" w:rsidRPr="000E5086" w:rsidRDefault="00B83932" w:rsidP="0026479D">
            <w:pPr>
              <w:rPr>
                <w:rFonts w:ascii="Calibri" w:eastAsia="Times New Roman" w:hAnsi="Calibri" w:cs="Calibri"/>
                <w:color w:val="000000"/>
                <w:sz w:val="20"/>
                <w:szCs w:val="20"/>
                <w:lang w:eastAsia="en-GB"/>
              </w:rPr>
            </w:pPr>
            <w:r>
              <w:rPr>
                <w:rFonts w:ascii="Calibri" w:eastAsia="Times New Roman" w:hAnsi="Calibri" w:cs="Calibri"/>
                <w:color w:val="000000"/>
                <w:sz w:val="20"/>
                <w:szCs w:val="20"/>
                <w:lang w:eastAsia="en-GB"/>
              </w:rPr>
              <w:t>No need for fix.</w:t>
            </w:r>
          </w:p>
        </w:tc>
        <w:tc>
          <w:tcPr>
            <w:tcW w:w="2070" w:type="dxa"/>
          </w:tcPr>
          <w:p w14:paraId="49BF4E88" w14:textId="013ED60C" w:rsidR="00B83932" w:rsidRPr="000E5086" w:rsidRDefault="00B83932" w:rsidP="0026479D">
            <w:pPr>
              <w:rPr>
                <w:rFonts w:ascii="Calibri" w:eastAsia="Times New Roman" w:hAnsi="Calibri" w:cs="Calibri"/>
                <w:color w:val="000000"/>
                <w:sz w:val="20"/>
                <w:szCs w:val="20"/>
                <w:lang w:eastAsia="en-GB"/>
              </w:rPr>
            </w:pPr>
            <w:r>
              <w:rPr>
                <w:rFonts w:ascii="Calibri" w:eastAsia="Times New Roman" w:hAnsi="Calibri" w:cs="Calibri"/>
                <w:color w:val="000000"/>
                <w:sz w:val="20"/>
                <w:szCs w:val="20"/>
                <w:lang w:eastAsia="en-GB"/>
              </w:rPr>
              <w:t>Only relevant for MS that have more than 12 models to report on.</w:t>
            </w:r>
          </w:p>
        </w:tc>
      </w:tr>
      <w:tr w:rsidR="00B83932" w:rsidRPr="000E5086" w14:paraId="7BB98FD7" w14:textId="77777777" w:rsidTr="0026479D">
        <w:trPr>
          <w:trHeight w:val="1164"/>
        </w:trPr>
        <w:tc>
          <w:tcPr>
            <w:tcW w:w="1974" w:type="dxa"/>
          </w:tcPr>
          <w:p w14:paraId="4B058606" w14:textId="329F99B8" w:rsidR="00B83932" w:rsidRPr="00B83932" w:rsidRDefault="00120BFE" w:rsidP="0026479D">
            <w:pPr>
              <w:rPr>
                <w:rFonts w:ascii="Calibri" w:eastAsia="Times New Roman" w:hAnsi="Calibri" w:cs="Calibri"/>
                <w:color w:val="000000"/>
                <w:sz w:val="20"/>
                <w:szCs w:val="20"/>
                <w:lang w:eastAsia="en-GB"/>
              </w:rPr>
            </w:pPr>
            <w:r>
              <w:rPr>
                <w:rFonts w:ascii="Calibri" w:eastAsia="Times New Roman" w:hAnsi="Calibri" w:cs="Calibri"/>
                <w:color w:val="000000"/>
                <w:sz w:val="20"/>
                <w:szCs w:val="20"/>
                <w:lang w:eastAsia="en-GB"/>
              </w:rPr>
              <w:t>GovReg_Proj_T3_v1.1</w:t>
            </w:r>
          </w:p>
        </w:tc>
        <w:tc>
          <w:tcPr>
            <w:tcW w:w="1434" w:type="dxa"/>
          </w:tcPr>
          <w:p w14:paraId="2DF362C8" w14:textId="1BA924BC" w:rsidR="00B83932" w:rsidRDefault="00120BFE" w:rsidP="0026479D">
            <w:pPr>
              <w:rPr>
                <w:rFonts w:ascii="Calibri" w:eastAsia="Times New Roman" w:hAnsi="Calibri" w:cs="Calibri"/>
                <w:color w:val="000000"/>
                <w:sz w:val="20"/>
                <w:szCs w:val="20"/>
                <w:lang w:eastAsia="en-GB"/>
              </w:rPr>
            </w:pPr>
            <w:r>
              <w:rPr>
                <w:rFonts w:ascii="Calibri" w:eastAsia="Times New Roman" w:hAnsi="Calibri" w:cs="Calibri"/>
                <w:color w:val="000000"/>
                <w:sz w:val="20"/>
                <w:szCs w:val="20"/>
                <w:lang w:eastAsia="en-GB"/>
              </w:rPr>
              <w:t>WEM, WAM, WOM</w:t>
            </w:r>
          </w:p>
        </w:tc>
        <w:tc>
          <w:tcPr>
            <w:tcW w:w="3108" w:type="dxa"/>
          </w:tcPr>
          <w:p w14:paraId="6D215AE2" w14:textId="5EE0F654" w:rsidR="00B83932" w:rsidRDefault="00120BFE" w:rsidP="0026479D">
            <w:pPr>
              <w:rPr>
                <w:rFonts w:ascii="Calibri" w:eastAsia="Times New Roman" w:hAnsi="Calibri" w:cs="Calibri"/>
                <w:color w:val="000000"/>
                <w:sz w:val="20"/>
                <w:szCs w:val="20"/>
                <w:lang w:eastAsia="en-GB"/>
              </w:rPr>
            </w:pPr>
            <w:r>
              <w:rPr>
                <w:rFonts w:ascii="Calibri" w:eastAsia="Times New Roman" w:hAnsi="Calibri" w:cs="Calibri"/>
                <w:color w:val="000000"/>
                <w:sz w:val="20"/>
                <w:szCs w:val="20"/>
                <w:lang w:eastAsia="en-GB"/>
              </w:rPr>
              <w:t>Potential loss of critical metadata due to error in column AS.</w:t>
            </w:r>
          </w:p>
        </w:tc>
        <w:tc>
          <w:tcPr>
            <w:tcW w:w="903" w:type="dxa"/>
          </w:tcPr>
          <w:p w14:paraId="33A89434" w14:textId="6D2B305E" w:rsidR="00B83932" w:rsidRDefault="00120BFE" w:rsidP="0026479D">
            <w:pPr>
              <w:rPr>
                <w:rFonts w:ascii="Calibri" w:eastAsia="Times New Roman" w:hAnsi="Calibri" w:cs="Calibri"/>
                <w:color w:val="000000"/>
                <w:sz w:val="20"/>
                <w:szCs w:val="20"/>
                <w:lang w:eastAsia="en-GB"/>
              </w:rPr>
            </w:pPr>
            <w:r>
              <w:rPr>
                <w:rFonts w:ascii="Calibri" w:eastAsia="Times New Roman" w:hAnsi="Calibri" w:cs="Calibri"/>
                <w:color w:val="000000"/>
                <w:sz w:val="20"/>
                <w:szCs w:val="20"/>
                <w:lang w:eastAsia="en-GB"/>
              </w:rPr>
              <w:t>High</w:t>
            </w:r>
          </w:p>
        </w:tc>
        <w:tc>
          <w:tcPr>
            <w:tcW w:w="922" w:type="dxa"/>
          </w:tcPr>
          <w:p w14:paraId="654A4B5B" w14:textId="1A554FDE" w:rsidR="00B83932" w:rsidRDefault="00120BFE" w:rsidP="0026479D">
            <w:pPr>
              <w:jc w:val="right"/>
              <w:rPr>
                <w:rFonts w:ascii="Calibri" w:eastAsia="Times New Roman" w:hAnsi="Calibri" w:cs="Calibri"/>
                <w:color w:val="000000"/>
                <w:sz w:val="20"/>
                <w:szCs w:val="20"/>
                <w:lang w:eastAsia="en-GB"/>
              </w:rPr>
            </w:pPr>
            <w:r>
              <w:rPr>
                <w:rFonts w:ascii="Calibri" w:eastAsia="Times New Roman" w:hAnsi="Calibri" w:cs="Calibri"/>
                <w:color w:val="000000"/>
                <w:sz w:val="20"/>
                <w:szCs w:val="20"/>
                <w:lang w:eastAsia="en-GB"/>
              </w:rPr>
              <w:t>1.2</w:t>
            </w:r>
          </w:p>
        </w:tc>
        <w:tc>
          <w:tcPr>
            <w:tcW w:w="3643" w:type="dxa"/>
          </w:tcPr>
          <w:p w14:paraId="6E39D24C" w14:textId="1FAFD299" w:rsidR="00B83932" w:rsidRDefault="00120BFE" w:rsidP="0026479D">
            <w:pPr>
              <w:rPr>
                <w:rFonts w:ascii="Calibri" w:eastAsia="Times New Roman" w:hAnsi="Calibri" w:cs="Calibri"/>
                <w:color w:val="000000"/>
                <w:sz w:val="20"/>
                <w:szCs w:val="20"/>
                <w:lang w:eastAsia="en-GB"/>
              </w:rPr>
            </w:pPr>
            <w:r>
              <w:rPr>
                <w:rFonts w:ascii="Calibri" w:eastAsia="Times New Roman" w:hAnsi="Calibri" w:cs="Calibri"/>
                <w:color w:val="000000"/>
                <w:sz w:val="20"/>
                <w:szCs w:val="20"/>
                <w:lang w:eastAsia="en-GB"/>
              </w:rPr>
              <w:t>Data should be copied to the new version 1.2</w:t>
            </w:r>
          </w:p>
        </w:tc>
        <w:tc>
          <w:tcPr>
            <w:tcW w:w="2070" w:type="dxa"/>
          </w:tcPr>
          <w:p w14:paraId="3B45B18F" w14:textId="77777777" w:rsidR="00B83932" w:rsidRDefault="00B83932" w:rsidP="0026479D">
            <w:pPr>
              <w:rPr>
                <w:rFonts w:ascii="Calibri" w:eastAsia="Times New Roman" w:hAnsi="Calibri" w:cs="Calibri"/>
                <w:color w:val="000000"/>
                <w:sz w:val="20"/>
                <w:szCs w:val="20"/>
                <w:lang w:eastAsia="en-GB"/>
              </w:rPr>
            </w:pPr>
            <w:bookmarkStart w:id="2" w:name="_GoBack"/>
            <w:bookmarkEnd w:id="2"/>
          </w:p>
        </w:tc>
      </w:tr>
    </w:tbl>
    <w:p w14:paraId="40058583" w14:textId="77777777" w:rsidR="00E24ED3" w:rsidRDefault="00E24ED3" w:rsidP="00E24ED3"/>
    <w:p w14:paraId="2EDFC17E" w14:textId="77777777" w:rsidR="00E24ED3" w:rsidRDefault="00E24ED3" w:rsidP="00E24ED3">
      <w:pPr>
        <w:spacing w:after="0"/>
      </w:pPr>
      <w:r>
        <w:lastRenderedPageBreak/>
        <w:t>Severity key:</w:t>
      </w:r>
    </w:p>
    <w:p w14:paraId="590EBC83" w14:textId="77777777" w:rsidR="00E24ED3" w:rsidRDefault="00E24ED3" w:rsidP="00E24ED3">
      <w:pPr>
        <w:pStyle w:val="ListParagraph"/>
        <w:numPr>
          <w:ilvl w:val="0"/>
          <w:numId w:val="1"/>
        </w:numPr>
        <w:spacing w:after="0"/>
      </w:pPr>
      <w:r w:rsidRPr="008C00CA">
        <w:rPr>
          <w:u w:val="single"/>
        </w:rPr>
        <w:t>High</w:t>
      </w:r>
      <w:r>
        <w:t xml:space="preserve">: The issue prevents uploading data or introduces significant errors. An </w:t>
      </w:r>
      <w:r w:rsidRPr="000E5086">
        <w:rPr>
          <w:u w:val="single"/>
        </w:rPr>
        <w:t>update is necessary</w:t>
      </w:r>
      <w:r>
        <w:t xml:space="preserve"> for reporting.</w:t>
      </w:r>
    </w:p>
    <w:p w14:paraId="2562E135" w14:textId="77777777" w:rsidR="00E24ED3" w:rsidRDefault="00E24ED3" w:rsidP="00E24ED3">
      <w:pPr>
        <w:pStyle w:val="ListParagraph"/>
        <w:numPr>
          <w:ilvl w:val="0"/>
          <w:numId w:val="1"/>
        </w:numPr>
        <w:spacing w:after="0"/>
      </w:pPr>
      <w:r w:rsidRPr="008C00CA">
        <w:rPr>
          <w:u w:val="single"/>
        </w:rPr>
        <w:t>Medium</w:t>
      </w:r>
      <w:r>
        <w:t>: The issue has the potential to introduce minor errors that can be easily identified and corrected during QAQC.</w:t>
      </w:r>
    </w:p>
    <w:p w14:paraId="5D666C25" w14:textId="77777777" w:rsidR="00E24ED3" w:rsidRDefault="00E24ED3" w:rsidP="00E24ED3">
      <w:pPr>
        <w:pStyle w:val="ListParagraph"/>
        <w:numPr>
          <w:ilvl w:val="0"/>
          <w:numId w:val="1"/>
        </w:numPr>
        <w:spacing w:after="0"/>
      </w:pPr>
      <w:r w:rsidRPr="008C00CA">
        <w:rPr>
          <w:u w:val="single"/>
        </w:rPr>
        <w:t>Low</w:t>
      </w:r>
      <w:r>
        <w:t>: No risk of introducing reporting errors.</w:t>
      </w:r>
    </w:p>
    <w:p w14:paraId="3D4FA2A1" w14:textId="77777777" w:rsidR="00E24ED3" w:rsidRDefault="00E24ED3" w:rsidP="00E24ED3">
      <w:pPr>
        <w:sectPr w:rsidR="00E24ED3" w:rsidSect="000501A7">
          <w:pgSz w:w="16840" w:h="11900" w:orient="landscape"/>
          <w:pgMar w:top="1440" w:right="1440" w:bottom="1440" w:left="1440" w:header="709" w:footer="709" w:gutter="0"/>
          <w:cols w:space="720"/>
          <w:docGrid w:linePitch="326"/>
        </w:sectPr>
      </w:pPr>
    </w:p>
    <w:p w14:paraId="331ED680" w14:textId="77777777" w:rsidR="00E24ED3" w:rsidRPr="00ED5F1A" w:rsidRDefault="00E24ED3" w:rsidP="00E24ED3">
      <w:pPr>
        <w:rPr>
          <w:b/>
          <w:i/>
        </w:rPr>
      </w:pPr>
      <w:r>
        <w:rPr>
          <w:b/>
          <w:i/>
        </w:rPr>
        <w:lastRenderedPageBreak/>
        <w:t>Can I use the</w:t>
      </w:r>
      <w:r w:rsidRPr="00ED5F1A">
        <w:rPr>
          <w:b/>
          <w:i/>
        </w:rPr>
        <w:t xml:space="preserve"> Draft Testing version</w:t>
      </w:r>
      <w:r>
        <w:rPr>
          <w:b/>
          <w:i/>
        </w:rPr>
        <w:t xml:space="preserve"> for reporting? </w:t>
      </w:r>
      <w:r w:rsidRPr="00ED5F1A">
        <w:rPr>
          <w:b/>
          <w:i/>
        </w:rPr>
        <w:t>(GovReg_Proj_T1a_T1b_T5a_T5b_DRAFT.xlsx)</w:t>
      </w:r>
    </w:p>
    <w:p w14:paraId="4117C870" w14:textId="77777777" w:rsidR="00E24ED3" w:rsidRDefault="00E24ED3" w:rsidP="00E24ED3">
      <w:r w:rsidRPr="00390C93">
        <w:t xml:space="preserve">Your data will </w:t>
      </w:r>
      <w:r>
        <w:t xml:space="preserve">load to Reportnet and it will </w:t>
      </w:r>
      <w:r w:rsidRPr="00390C93">
        <w:t>reach us.</w:t>
      </w:r>
      <w:r>
        <w:t xml:space="preserve"> However, it is </w:t>
      </w:r>
      <w:r w:rsidRPr="000B5907">
        <w:t>highly recommended</w:t>
      </w:r>
      <w:r>
        <w:t xml:space="preserve"> that you do not use this template for reporting. If for any reason you are unable to migrate your data to an updated version of the template, please contact us at </w:t>
      </w:r>
      <w:hyperlink r:id="rId8" w:history="1">
        <w:r w:rsidRPr="004C4F46">
          <w:rPr>
            <w:rStyle w:val="Hyperlink"/>
          </w:rPr>
          <w:t>govreg@eea.europa.eu</w:t>
        </w:r>
      </w:hyperlink>
      <w:r>
        <w:t xml:space="preserve"> and we will give you further instructions on how to adapt it.</w:t>
      </w:r>
    </w:p>
    <w:p w14:paraId="487145A8" w14:textId="77777777" w:rsidR="00E24ED3" w:rsidRDefault="00E24ED3" w:rsidP="00E24ED3">
      <w:r w:rsidRPr="003C5F2F">
        <w:t>To migrate</w:t>
      </w:r>
      <w:r>
        <w:t xml:space="preserve"> your data to version 1.2. Please make sure that you only copy your input data, from the area reserved for reporting (e.g. for Table 1a this is within the range C19:JQ224 excluding the calculated LULUCF sections in green). Do not copy headers or category columns, or insert full rows or columns. Please paste data as values in the new template to keep formatting integrity.</w:t>
      </w:r>
      <w:r w:rsidRPr="003C5F2F">
        <w:t xml:space="preserve"> </w:t>
      </w:r>
      <w:r>
        <w:t>The categories follow the same order in all templates.</w:t>
      </w:r>
    </w:p>
    <w:p w14:paraId="3C8A171F" w14:textId="77777777" w:rsidR="00E24ED3" w:rsidRPr="00ED5F1A" w:rsidRDefault="00E24ED3" w:rsidP="00E24ED3">
      <w:pPr>
        <w:rPr>
          <w:b/>
          <w:i/>
        </w:rPr>
      </w:pPr>
      <w:r>
        <w:rPr>
          <w:b/>
          <w:i/>
        </w:rPr>
        <w:t>Can I use</w:t>
      </w:r>
      <w:r w:rsidRPr="00ED5F1A">
        <w:rPr>
          <w:b/>
          <w:i/>
        </w:rPr>
        <w:t xml:space="preserve"> a template from previous years (under the MMR)?</w:t>
      </w:r>
    </w:p>
    <w:p w14:paraId="18A5D8FB" w14:textId="77777777" w:rsidR="00E24ED3" w:rsidRDefault="00E24ED3" w:rsidP="00E24ED3">
      <w:r>
        <w:t>MMR templates will fail to upload to Reportnet and you will not be able to submit your data.</w:t>
      </w:r>
    </w:p>
    <w:p w14:paraId="2D81CB0F" w14:textId="77777777" w:rsidR="00E24ED3" w:rsidRPr="000501A7" w:rsidRDefault="00E24ED3" w:rsidP="00E24ED3">
      <w:pPr>
        <w:rPr>
          <w:b/>
          <w:i/>
        </w:rPr>
      </w:pPr>
      <w:r w:rsidRPr="000501A7">
        <w:rPr>
          <w:b/>
          <w:i/>
        </w:rPr>
        <w:t>How are the versions numbered?</w:t>
      </w:r>
    </w:p>
    <w:p w14:paraId="6757C8ED" w14:textId="77777777" w:rsidR="00E24ED3" w:rsidRDefault="00E24ED3" w:rsidP="00E24ED3">
      <w:pPr>
        <w:spacing w:after="0"/>
      </w:pPr>
      <w:r>
        <w:t xml:space="preserve">The first number (e.g. </w:t>
      </w:r>
      <w:r w:rsidRPr="003C5F2F">
        <w:rPr>
          <w:b/>
        </w:rPr>
        <w:t>1</w:t>
      </w:r>
      <w:r>
        <w:t>.x.x) refers to a major update, such as those addressing high severity issues. You should not use a template with an old first number.</w:t>
      </w:r>
    </w:p>
    <w:p w14:paraId="2DC41B11" w14:textId="77777777" w:rsidR="00E24ED3" w:rsidRDefault="00E24ED3" w:rsidP="00E24ED3">
      <w:pPr>
        <w:spacing w:after="0"/>
      </w:pPr>
      <w:r>
        <w:t>The second number (e.g. x.</w:t>
      </w:r>
      <w:r w:rsidRPr="00C3372E">
        <w:rPr>
          <w:b/>
        </w:rPr>
        <w:t>2</w:t>
      </w:r>
      <w:r>
        <w:t>.x) refers to updates addressing medium severity issues. Updating is recommended but not required.</w:t>
      </w:r>
    </w:p>
    <w:p w14:paraId="574F3563" w14:textId="77777777" w:rsidR="00E24ED3" w:rsidRDefault="00E24ED3" w:rsidP="00E24ED3">
      <w:r>
        <w:t>The thirds number (e.g. x.x.</w:t>
      </w:r>
      <w:r w:rsidRPr="00C3372E">
        <w:rPr>
          <w:b/>
        </w:rPr>
        <w:t>1</w:t>
      </w:r>
      <w:r>
        <w:t>) refers to a minor update, such as those addressing cosmetic or low severity issues.</w:t>
      </w:r>
    </w:p>
    <w:p w14:paraId="14C00B7B" w14:textId="77777777" w:rsidR="00E24ED3" w:rsidRDefault="00E24ED3" w:rsidP="00E24ED3">
      <w:r>
        <w:t>The zip file follows the same numbering logic but its version number might differ from the individual excel files.</w:t>
      </w:r>
    </w:p>
    <w:p w14:paraId="26853278" w14:textId="77777777" w:rsidR="00DF5D4F" w:rsidRDefault="00DF5D4F"/>
    <w:sectPr w:rsidR="00DF5D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5C0C98"/>
    <w:multiLevelType w:val="hybridMultilevel"/>
    <w:tmpl w:val="940AE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ED3"/>
    <w:rsid w:val="00120BFE"/>
    <w:rsid w:val="006D1F81"/>
    <w:rsid w:val="00B83932"/>
    <w:rsid w:val="00DF5D4F"/>
    <w:rsid w:val="00E24E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387B9"/>
  <w15:chartTrackingRefBased/>
  <w15:docId w15:val="{3EC1D0D0-7EA6-4477-B86B-ED13BDDE7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ED3"/>
  </w:style>
  <w:style w:type="paragraph" w:styleId="Heading1">
    <w:name w:val="heading 1"/>
    <w:basedOn w:val="Normal"/>
    <w:next w:val="Normal"/>
    <w:link w:val="Heading1Char"/>
    <w:uiPriority w:val="9"/>
    <w:qFormat/>
    <w:rsid w:val="00E24ED3"/>
    <w:pPr>
      <w:keepNext/>
      <w:keepLines/>
      <w:spacing w:before="240"/>
      <w:outlineLvl w:val="0"/>
    </w:pPr>
    <w:rPr>
      <w:rFonts w:eastAsiaTheme="majorEastAsia" w:cstheme="majorBidi"/>
      <w:bCs/>
      <w:color w:val="008173"/>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4ED3"/>
    <w:rPr>
      <w:rFonts w:eastAsiaTheme="majorEastAsia" w:cstheme="majorBidi"/>
      <w:bCs/>
      <w:color w:val="008173"/>
      <w:sz w:val="28"/>
      <w:szCs w:val="28"/>
    </w:rPr>
  </w:style>
  <w:style w:type="character" w:styleId="Hyperlink">
    <w:name w:val="Hyperlink"/>
    <w:basedOn w:val="DefaultParagraphFont"/>
    <w:uiPriority w:val="99"/>
    <w:unhideWhenUsed/>
    <w:rsid w:val="00E24ED3"/>
    <w:rPr>
      <w:rFonts w:ascii="Arial" w:hAnsi="Arial"/>
      <w:color w:val="0563C1" w:themeColor="hyperlink"/>
      <w:sz w:val="16"/>
      <w:u w:val="single"/>
    </w:rPr>
  </w:style>
  <w:style w:type="table" w:styleId="TableGrid">
    <w:name w:val="Table Grid"/>
    <w:basedOn w:val="TableNormal"/>
    <w:uiPriority w:val="39"/>
    <w:rsid w:val="00E24ED3"/>
    <w:pPr>
      <w:keepNext/>
      <w:keepLines/>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styleId="ListParagraph">
    <w:name w:val="List Paragraph"/>
    <w:basedOn w:val="Normal"/>
    <w:uiPriority w:val="34"/>
    <w:qFormat/>
    <w:rsid w:val="00E24E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vreg@eea.europa.eu"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D9D327207FFAF42A7C3798FD218A341" ma:contentTypeVersion="12" ma:contentTypeDescription="Create a new document." ma:contentTypeScope="" ma:versionID="4c6f0cccf195390785a98b1d6064dfd3">
  <xsd:schema xmlns:xsd="http://www.w3.org/2001/XMLSchema" xmlns:xs="http://www.w3.org/2001/XMLSchema" xmlns:p="http://schemas.microsoft.com/office/2006/metadata/properties" xmlns:ns3="9f9270b6-ec67-4823-bbdd-06e3e533a03f" xmlns:ns4="9602e91a-2219-41f1-a92f-5c019ef136de" targetNamespace="http://schemas.microsoft.com/office/2006/metadata/properties" ma:root="true" ma:fieldsID="385cd52c3675c3fa378cd09162831f18" ns3:_="" ns4:_="">
    <xsd:import namespace="9f9270b6-ec67-4823-bbdd-06e3e533a03f"/>
    <xsd:import namespace="9602e91a-2219-41f1-a92f-5c019ef136d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9270b6-ec67-4823-bbdd-06e3e533a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02e91a-2219-41f1-a92f-5c019ef136d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9ACA32-6F0A-4E1F-A7BE-C229FDA819E2}">
  <ds:schemaRefs>
    <ds:schemaRef ds:uri="http://schemas.microsoft.com/sharepoint/v3/contenttype/forms"/>
  </ds:schemaRefs>
</ds:datastoreItem>
</file>

<file path=customXml/itemProps2.xml><?xml version="1.0" encoding="utf-8"?>
<ds:datastoreItem xmlns:ds="http://schemas.openxmlformats.org/officeDocument/2006/customXml" ds:itemID="{A2B6E0DB-0F69-4928-BC9D-7F558A9CBB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9270b6-ec67-4823-bbdd-06e3e533a03f"/>
    <ds:schemaRef ds:uri="9602e91a-2219-41f1-a92f-5c019ef136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608A54-0397-4CA6-870A-5D218A2C555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490</Words>
  <Characters>2796</Characters>
  <Application>Microsoft Office Word</Application>
  <DocSecurity>0</DocSecurity>
  <Lines>23</Lines>
  <Paragraphs>6</Paragraphs>
  <ScaleCrop>false</ScaleCrop>
  <Company>HP</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Esparrago</dc:creator>
  <cp:keywords/>
  <dc:description/>
  <cp:lastModifiedBy>Javier Esparrago</cp:lastModifiedBy>
  <cp:revision>4</cp:revision>
  <dcterms:created xsi:type="dcterms:W3CDTF">2021-02-25T12:50:00Z</dcterms:created>
  <dcterms:modified xsi:type="dcterms:W3CDTF">2021-04-12T00:09:00Z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0x0101008D9D327207FFAF42A7C3798FD218A341</vt:lpwstr>
  </property>
</Properties>
</file>